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834.3307086614169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79504" cy="1429068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9504" cy="1429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Materiais: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after="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Vídeo para visualização do conto da história “A árvores da escola”;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Guião de Exploração da história.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834.3307086614169" w:firstLine="720"/>
        <w:jc w:val="both"/>
        <w:rPr/>
      </w:pPr>
      <w:r w:rsidDel="00000000" w:rsidR="00000000" w:rsidRPr="00000000">
        <w:rPr>
          <w:b w:val="1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Promover o desenvolvimento de capacidades conversacionais, através da exploração conjunta do livro, usando vocabulário diversificado;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Estimular a compreensão de histórias e o interesse pelo mundo da leitura;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Trabalhar perceção, memória;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Refletir sobre a capa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Promover o desenvolvimento da imaginação e da criatividade.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834.330708661416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834.330708661416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Antes da visualização da história: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Tente explorar os vários elementos da capa, despertando o interesse da criança para a leitura da história.  Estas questões permitem que a criança fique mais atenta e promovem a imaginação.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Rule="auto"/>
        <w:ind w:left="1440" w:right="-834.3307086614169" w:hanging="360"/>
        <w:jc w:val="both"/>
      </w:pPr>
      <w:r w:rsidDel="00000000" w:rsidR="00000000" w:rsidRPr="00000000">
        <w:rPr>
          <w:rtl w:val="0"/>
        </w:rPr>
        <w:t xml:space="preserve">O que vês na capa da história?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achas que vai acontecer?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serão as personagens da história?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Onde está o título? Quantas palavras tem? Consegues dizer que letras são aquelas?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animal aparece na capa do livro?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está na mão do menino?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40" w:right="-834.33070866141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834.3307086614169"/>
        <w:jc w:val="both"/>
        <w:rPr/>
      </w:pPr>
      <w:r w:rsidDel="00000000" w:rsidR="00000000" w:rsidRPr="00000000">
        <w:rPr>
          <w:b w:val="1"/>
          <w:rtl w:val="0"/>
        </w:rPr>
        <w:t xml:space="preserve">Após a visualização da história: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Faça perguntas  à criança para explorarem em conjunto os vários acontecimentos da história e tente que esta expresse a sua opinião e se envolva na história. Permite trabalhar compreensão e memória: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Onde se passa a história?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gostava de fazer o Pedro durante o recreio?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era a árvore?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foi acontecendo à árvore ao longo do tempo?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Porque ralhou a professora com o Pedro?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explicou o Pedro aos colegas?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fizeram a Marta, o Luís e a Sofia?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construíram na árvore?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Porque é que mudaram a biblioteca para a cabana na árvore?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Qual a importância das árvores na natureza? Pesquisa um pouco sobre este tema e descobre porque é que estas são essenciais.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1440" w:right="-834.33070866141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0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Peça à criança para recontar a história, por palavras suas, de modo a perceber se compreendeu os vários acontecimentos e a estimular o seu discurso oral.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0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Realize a nossa atividade de consciência fonológica (manipulação silábica), recorrendo ao seguinte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https://wordwall.net/play/2030/470/891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ind w:left="0" w:right="-834.3307086614169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Guião de Exploração da história “A árvore da escola 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ordwall.net/play/2030/470/89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IlDPe49qMdGsJ8t4O4ELAseWQ==">AMUW2mX/j1naM+3+jGF6Z3wDyDTFLx0TAz/HTomJTceOsiN8UmkWwaBjVp9AERONKXncRUeueCQnIMloWsDU0pPL596GzCURPuU7v8FdjEUk8WIkb1Fczt4=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2020-03-31T14:01:00Z</dcterms:created>
  <dc:creator>Cristiana Mira</dc:creator>
</cp:coreProperties>
</file>